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656578">
              <w:rPr>
                <w:spacing w:val="4"/>
                <w:sz w:val="22"/>
                <w:szCs w:val="22"/>
                <w:lang w:val="en-US"/>
              </w:rPr>
              <w:t>19</w:t>
            </w:r>
            <w:r w:rsidR="00CF4B01">
              <w:rPr>
                <w:spacing w:val="4"/>
                <w:sz w:val="22"/>
                <w:szCs w:val="22"/>
                <w:lang w:val="el-GR"/>
              </w:rPr>
              <w:t xml:space="preserve"> </w:t>
            </w:r>
            <w:r w:rsidR="00656578">
              <w:rPr>
                <w:spacing w:val="4"/>
                <w:sz w:val="22"/>
                <w:szCs w:val="22"/>
                <w:lang w:val="el-GR"/>
              </w:rPr>
              <w:t>Οκτωβρίου</w:t>
            </w:r>
            <w:r w:rsidR="00CF4B01">
              <w:rPr>
                <w:spacing w:val="4"/>
                <w:sz w:val="22"/>
                <w:szCs w:val="22"/>
                <w:lang w:val="el-GR"/>
              </w:rPr>
              <w:t xml:space="preserve"> 201</w:t>
            </w:r>
            <w:r w:rsidR="00656578">
              <w:rPr>
                <w:spacing w:val="4"/>
                <w:sz w:val="22"/>
                <w:szCs w:val="22"/>
                <w:lang w:val="el-GR"/>
              </w:rPr>
              <w:t>8</w:t>
            </w:r>
          </w:p>
          <w:p w:rsidR="004B2DEA" w:rsidRPr="00656578" w:rsidRDefault="004B2DEA" w:rsidP="00C30689">
            <w:pPr>
              <w:pStyle w:val="3"/>
              <w:jc w:val="both"/>
              <w:rPr>
                <w:lang w:val="el-GR"/>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656578">
              <w:rPr>
                <w:sz w:val="22"/>
                <w:szCs w:val="22"/>
                <w:lang w:val="el-GR"/>
              </w:rPr>
              <w:t>428</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464CAB">
        <w:rPr>
          <w:sz w:val="24"/>
          <w:szCs w:val="24"/>
        </w:rPr>
        <w:t xml:space="preserve">1. </w:t>
      </w:r>
      <w:r w:rsidR="007339AD" w:rsidRPr="00FE3AFA">
        <w:rPr>
          <w:b/>
          <w:sz w:val="24"/>
          <w:szCs w:val="24"/>
        </w:rPr>
        <w:t>Ι</w:t>
      </w:r>
      <w:r w:rsidR="00656578">
        <w:rPr>
          <w:b/>
          <w:sz w:val="24"/>
          <w:szCs w:val="24"/>
        </w:rPr>
        <w:t>σπανία</w:t>
      </w:r>
      <w:r w:rsidR="000B4F8D">
        <w:rPr>
          <w:b/>
          <w:sz w:val="24"/>
          <w:szCs w:val="24"/>
        </w:rPr>
        <w:t xml:space="preserve"> (</w:t>
      </w:r>
      <w:r w:rsidR="00656578">
        <w:rPr>
          <w:b/>
          <w:sz w:val="24"/>
          <w:szCs w:val="24"/>
        </w:rPr>
        <w:t>Βαρκελώνη</w:t>
      </w:r>
      <w:r w:rsidR="000B4F8D">
        <w:rPr>
          <w:b/>
          <w:sz w:val="24"/>
          <w:szCs w:val="24"/>
        </w:rPr>
        <w:t>)</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656578">
        <w:rPr>
          <w:sz w:val="24"/>
          <w:szCs w:val="24"/>
        </w:rPr>
        <w:t xml:space="preserve">Μάρτιος </w:t>
      </w:r>
      <w:r w:rsidR="00863D03" w:rsidRPr="00464CAB">
        <w:rPr>
          <w:b/>
          <w:sz w:val="24"/>
          <w:szCs w:val="24"/>
        </w:rPr>
        <w:t>201</w:t>
      </w:r>
      <w:r w:rsidR="00656578">
        <w:rPr>
          <w:b/>
          <w:sz w:val="24"/>
          <w:szCs w:val="24"/>
        </w:rPr>
        <w:t>9</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C30689">
        <w:rPr>
          <w:sz w:val="24"/>
          <w:szCs w:val="24"/>
        </w:rPr>
        <w:t xml:space="preserve">Επτά </w:t>
      </w:r>
      <w:r w:rsidR="00E66B2D" w:rsidRPr="00FE3AFA">
        <w:rPr>
          <w:sz w:val="24"/>
          <w:szCs w:val="24"/>
        </w:rPr>
        <w:t>(</w:t>
      </w:r>
      <w:r w:rsidR="00C30689">
        <w:rPr>
          <w:sz w:val="24"/>
          <w:szCs w:val="24"/>
        </w:rPr>
        <w:t>7</w:t>
      </w:r>
      <w:r w:rsidR="00E66B2D" w:rsidRPr="00FE3AFA">
        <w:rPr>
          <w:sz w:val="24"/>
          <w:szCs w:val="24"/>
        </w:rPr>
        <w:t>)</w:t>
      </w:r>
      <w:r w:rsidR="00C30689">
        <w:rPr>
          <w:sz w:val="24"/>
          <w:szCs w:val="24"/>
        </w:rPr>
        <w:t>ημέρες,</w:t>
      </w:r>
      <w:r w:rsidR="00E66B2D" w:rsidRPr="00FE3AFA">
        <w:rPr>
          <w:sz w:val="24"/>
          <w:szCs w:val="24"/>
        </w:rPr>
        <w:t xml:space="preserve"> </w:t>
      </w:r>
      <w:r w:rsidR="00C30689">
        <w:rPr>
          <w:sz w:val="24"/>
          <w:szCs w:val="24"/>
        </w:rPr>
        <w:t>έξι</w:t>
      </w:r>
      <w:r w:rsidR="00B71A79" w:rsidRPr="00FE3AFA">
        <w:rPr>
          <w:sz w:val="24"/>
          <w:szCs w:val="24"/>
        </w:rPr>
        <w:t xml:space="preserve"> (</w:t>
      </w:r>
      <w:r w:rsidR="00C30689">
        <w:rPr>
          <w:sz w:val="24"/>
          <w:szCs w:val="24"/>
        </w:rPr>
        <w:t>6</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656578">
        <w:rPr>
          <w:b/>
          <w:sz w:val="24"/>
          <w:szCs w:val="24"/>
        </w:rPr>
        <w:t>70</w:t>
      </w:r>
      <w:r w:rsidR="00C30689">
        <w:rPr>
          <w:b/>
          <w:sz w:val="24"/>
          <w:szCs w:val="24"/>
        </w:rPr>
        <w:t xml:space="preserve"> </w:t>
      </w:r>
      <w:r w:rsidRPr="00FE3AFA">
        <w:rPr>
          <w:b/>
          <w:sz w:val="24"/>
          <w:szCs w:val="24"/>
        </w:rPr>
        <w:t xml:space="preserve">μαθητές – </w:t>
      </w:r>
      <w:r w:rsidR="00C30689">
        <w:rPr>
          <w:b/>
          <w:sz w:val="24"/>
          <w:szCs w:val="24"/>
        </w:rPr>
        <w:t>5</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Μέσον: Αεροπορικώς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lastRenderedPageBreak/>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0B4F8D" w:rsidP="006E5DDD">
      <w:pPr>
        <w:jc w:val="center"/>
        <w:rPr>
          <w:b/>
          <w:sz w:val="24"/>
          <w:szCs w:val="24"/>
          <w:u w:val="single"/>
        </w:rPr>
      </w:pPr>
      <w:r>
        <w:rPr>
          <w:b/>
          <w:sz w:val="24"/>
          <w:szCs w:val="24"/>
          <w:u w:val="single"/>
        </w:rPr>
        <w:t>ΠΑΡΑΣΚΕΥΗ</w:t>
      </w:r>
      <w:r w:rsidR="0028751F" w:rsidRPr="00FE3AFA">
        <w:rPr>
          <w:b/>
          <w:sz w:val="24"/>
          <w:szCs w:val="24"/>
          <w:u w:val="single"/>
        </w:rPr>
        <w:t xml:space="preserve"> </w:t>
      </w:r>
      <w:r w:rsidR="00151F32" w:rsidRPr="00151F32">
        <w:rPr>
          <w:b/>
          <w:sz w:val="24"/>
          <w:szCs w:val="24"/>
          <w:u w:val="single"/>
        </w:rPr>
        <w:t>16</w:t>
      </w:r>
      <w:r w:rsidR="0028751F" w:rsidRPr="00FE3AFA">
        <w:rPr>
          <w:b/>
          <w:sz w:val="24"/>
          <w:szCs w:val="24"/>
          <w:u w:val="single"/>
        </w:rPr>
        <w:t xml:space="preserve"> </w:t>
      </w:r>
      <w:r w:rsidR="00151F32">
        <w:rPr>
          <w:b/>
          <w:sz w:val="24"/>
          <w:szCs w:val="24"/>
          <w:u w:val="single"/>
          <w:lang w:val="en-US"/>
        </w:rPr>
        <w:t>NOE</w:t>
      </w:r>
      <w:r>
        <w:rPr>
          <w:b/>
          <w:sz w:val="24"/>
          <w:szCs w:val="24"/>
          <w:u w:val="single"/>
        </w:rPr>
        <w:t>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201</w:t>
      </w:r>
      <w:r w:rsidR="00151F32">
        <w:rPr>
          <w:b/>
          <w:sz w:val="24"/>
          <w:szCs w:val="24"/>
          <w:u w:val="single"/>
          <w:lang w:val="en-US"/>
        </w:rPr>
        <w:t>8</w:t>
      </w:r>
      <w:r w:rsidR="00863D03" w:rsidRPr="00FE3AFA">
        <w:rPr>
          <w:b/>
          <w:sz w:val="24"/>
          <w:szCs w:val="24"/>
          <w:u w:val="single"/>
        </w:rPr>
        <w:t>,</w:t>
      </w:r>
      <w:r w:rsidR="006361A3" w:rsidRPr="00FE3AFA">
        <w:rPr>
          <w:b/>
          <w:sz w:val="24"/>
          <w:szCs w:val="24"/>
          <w:u w:val="single"/>
        </w:rPr>
        <w:t xml:space="preserve"> ΩΡΑ 1</w:t>
      </w:r>
      <w:r w:rsidR="00151F32">
        <w:rPr>
          <w:b/>
          <w:sz w:val="24"/>
          <w:szCs w:val="24"/>
          <w:u w:val="single"/>
          <w:lang w:val="en-US"/>
        </w:rPr>
        <w:t>3</w:t>
      </w:r>
      <w:bookmarkStart w:id="1" w:name="_GoBack"/>
      <w:bookmarkEnd w:id="1"/>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Πε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DA" w:rsidRDefault="00E141DA">
      <w:r>
        <w:separator/>
      </w:r>
    </w:p>
  </w:endnote>
  <w:endnote w:type="continuationSeparator" w:id="0">
    <w:p w:rsidR="00E141DA" w:rsidRDefault="00E1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DA" w:rsidRDefault="00E141DA">
      <w:r>
        <w:separator/>
      </w:r>
    </w:p>
  </w:footnote>
  <w:footnote w:type="continuationSeparator" w:id="0">
    <w:p w:rsidR="00E141DA" w:rsidRDefault="00E14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5F27"/>
    <w:rsid w:val="000F0B1C"/>
    <w:rsid w:val="000F0FEA"/>
    <w:rsid w:val="0011000A"/>
    <w:rsid w:val="00112CD2"/>
    <w:rsid w:val="0012420A"/>
    <w:rsid w:val="00124F55"/>
    <w:rsid w:val="00126065"/>
    <w:rsid w:val="00126287"/>
    <w:rsid w:val="0012790A"/>
    <w:rsid w:val="001342A1"/>
    <w:rsid w:val="00151F32"/>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665B"/>
    <w:rsid w:val="005F0447"/>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41DA"/>
    <w:rsid w:val="00E171E4"/>
    <w:rsid w:val="00E178BB"/>
    <w:rsid w:val="00E22524"/>
    <w:rsid w:val="00E2383A"/>
    <w:rsid w:val="00E26C51"/>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81C6-1DAD-4C2D-A084-74A414C1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3115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3</cp:revision>
  <cp:lastPrinted>2017-12-07T10:24:00Z</cp:lastPrinted>
  <dcterms:created xsi:type="dcterms:W3CDTF">2018-10-19T04:31:00Z</dcterms:created>
  <dcterms:modified xsi:type="dcterms:W3CDTF">2018-11-05T07:17:00Z</dcterms:modified>
</cp:coreProperties>
</file>